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-167640</wp:posOffset>
            </wp:positionH>
            <wp:positionV relativeFrom="paragraph">
              <wp:posOffset>-323850</wp:posOffset>
            </wp:positionV>
            <wp:extent cx="1504315" cy="1062355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4147820</wp:posOffset>
            </wp:positionH>
            <wp:positionV relativeFrom="paragraph">
              <wp:posOffset>-333375</wp:posOffset>
            </wp:positionV>
            <wp:extent cx="1474470" cy="1081405"/>
            <wp:effectExtent l="0" t="0" r="0" b="0"/>
            <wp:wrapSquare wrapText="largest"/>
            <wp:docPr id="2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PROPOSTA DE COMPRA DE LOTE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LOTEAMENTO HERMÍNIO MORETTI 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Registrado no 1º CRI de Franca, sob Nº 85.062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LOTE: ${@lote}</w:t>
        <w:tab/>
        <w:tab/>
        <w:t>QUADRA: ${@quadra}</w:t>
        <w:tab/>
        <w:tab/>
        <w:t>ÁREA:</w:t>
      </w:r>
      <w:r>
        <w:rPr/>
        <w:t xml:space="preserve"> 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${@m2}m²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${@nome_cli}, ${@nacionalidade_cli}, inscrito(a) no CPF ${@cpf_cli}, RG ${@rg_cli} ${@orgao_expedidor}, ${@profissao_cli}, ${@estadocivil_cli}, residente e domiciliado(a) à Rua ${@endereco_cli}, nº${@numero_cli}, Bairro ${@bairro_cli}, ${@cep_cli},  ${@cidade_cli}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 -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${@uf_cli}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 w:leader="none"/>
        </w:tabs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ab/>
      </w:r>
    </w:p>
    <w:p>
      <w:pPr>
        <w:pStyle w:val="Normal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6" w:right="-427" w:hanging="7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${@simulacao_valor_parcelaEntrada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}, valor estipulado como sendo a entrada ou sinal da venda e compra.</w:t>
      </w:r>
    </w:p>
    <w:p>
      <w:pPr>
        <w:pStyle w:val="Normal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6" w:right="-427" w:hanging="7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 xml:space="preserve">A entrada acima será dividida em ${@simulacao_qtde_parcelasEntrada} parcelas mensais de iguais valores, quais sejam ${@simulacao_valor_parcelaEntrada}, cada uma, tendo como data de vencimento da primeira parcela em  ${@simulacao_dtVenc_entrada} e as demais </w:t>
      </w:r>
      <w:bookmarkStart w:id="0" w:name="_GoBack"/>
      <w:bookmarkEnd w:id="0"/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em meses sucessivos.</w:t>
      </w:r>
    </w:p>
    <w:p>
      <w:pPr>
        <w:pStyle w:val="Normal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6" w:right="-427" w:hanging="7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Os índices de correção e taxas de juros 0,75% aplicados na entrada serão os mesmos utilizados nas prestações mensais do plano.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  <w:bookmarkStart w:id="1" w:name="_3dy6vkm"/>
      <w:bookmarkStart w:id="2" w:name="_3dy6vkm"/>
      <w:bookmarkEnd w:id="2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bookmarkStart w:id="3" w:name="1t3h5sf"/>
      <w:bookmarkStart w:id="4" w:name="4d34og8"/>
      <w:bookmarkStart w:id="5" w:name="2s8eyo1"/>
      <w:bookmarkEnd w:id="3"/>
      <w:bookmarkEnd w:id="4"/>
      <w:bookmarkEnd w:id="5"/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(iv)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${@saldo_devedor}, referente ao saldo do preço a ser pago SOB A MODALIDADE DE PARCELAMENTO DO PREÇO: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a) Saldo do Preço: ${@saldo_devedor}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b) Número de Parcelas: ${@simulacao_qtde_parcelasFinanciamento}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c) Valor de cada uma das Parcelas: ${@simulacao_valor_parcelaFinanciamento}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d) Vencimento da primeira ${@simulacao_dtVenc_financiamento}</w:t>
      </w:r>
      <w:bookmarkStart w:id="6" w:name="3rdcrjn"/>
      <w:bookmarkStart w:id="7" w:name="17dp8vu"/>
      <w:bookmarkEnd w:id="6"/>
      <w:bookmarkEnd w:id="7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 xml:space="preserve">As parcelas serão corrigidas pelo índice inflacionário apurado pelo IGP-M anualmente. 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1) Declaro-me (nos) estar inteiramente ciente (s) do conhecimento do perfil topográfico do lote objeto da proposta, através dos documentos e plantas de aprovação do loteamento, que lhe foram colocados à disposição pela VENDEDORA, tendo percorrido pessoalmente, ou por intermédio de seu representante ou prepostos, suas divisas, achando-as conforme as especificações constantes neste instrumento;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2) A presente proposta terá o prazo improrrogável de 2 (DOIS) dias a contar-se da assinatura da presente, A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VENDEDORA terá a prerrogativa de não assinar o presente contrato caso O (S) PROPONENTE (S) não quite o valor total pactuado, assim, não perfazendo o INSTRUMENTO PARTICULAR DE CONTRATO DE COMPROMISSO DE VENDA E COMPRA;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3) Tenho/Temos pena ciência de que este documento será substituído pelo Compromisso de Compra e Venda após a quitação total da primeira parcela da entrada, ou do valor total pactuado, e terá a vendedora um prazo máximo de 30 (TRINTA) dias, após a assinatura deste, formalizar o mencionado Compromisso de Compra e Venda, sendo comunicado ao cliente para ir assinar o mesmo no escritório da administradora HR Santos Empreendimentos Imobiliários Ltda, CRECI 26.363-J, CNPJ 20.372.698/0001-83, Localizada na Av. Rio Amazonas, nº 680, Residencial Amazonas, Franca/SP.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jc w:val="right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bookmarkStart w:id="8" w:name="_26in1rg"/>
      <w:bookmarkEnd w:id="8"/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Restinga/SP, ${@dia_contrato}, ${@mes_contrato} de ${@ano_contrato}.</w:t>
      </w:r>
    </w:p>
    <w:p>
      <w:pPr>
        <w:pStyle w:val="Normal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${@nome_cli}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 LTDA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NOME: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CPF: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RG: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NOME: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CPF: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/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</w:rPr>
        <w:t>RG:</w:t>
      </w:r>
    </w:p>
    <w:sectPr>
      <w:footerReference w:type="default" r:id="rId4"/>
      <w:type w:val="nextPage"/>
      <w:pgSz w:w="11906" w:h="16838"/>
      <w:pgMar w:left="1701" w:right="1985" w:header="0" w:top="1134" w:footer="72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erox Serif Wide">
    <w:charset w:val="01"/>
    <w:family w:val="roman"/>
    <w:pitch w:val="variable"/>
  </w:font>
  <w:font w:name="Segoe UI">
    <w:charset w:val="01"/>
    <w:family w:val="roman"/>
    <w:pitch w:val="variable"/>
  </w:font>
  <w:font w:name="Arial Narro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973907026"/>
    </w:sdtPr>
    <w:sdtContent>
      <w:p>
        <w:pPr>
          <w:pStyle w:val="Rodap"/>
          <w:jc w:val="center"/>
          <w:rPr/>
        </w:pPr>
        <w:r>
          <w:rPr>
            <w:lang w:val="pt-BR"/>
          </w:rPr>
          <w:t xml:space="preserve">Página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2</w:t>
        </w:r>
        <w:r>
          <w:rPr>
            <w:b/>
            <w:szCs w:val="24"/>
            <w:bCs/>
          </w:rPr>
          <w:fldChar w:fldCharType="end"/>
        </w:r>
        <w:r>
          <w:rPr>
            <w:lang w:val="pt-BR"/>
          </w:rPr>
          <w:t xml:space="preserve"> de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2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Normal"/>
      <w:ind w:left="-544" w:right="23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Roman"/>
      <w:lvlText w:val="(%1)"/>
      <w:lvlJc w:val="left"/>
      <w:pPr>
        <w:ind w:left="436" w:hanging="720"/>
      </w:pPr>
      <w:rPr>
        <w:sz w:val="22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erox Serif Wide" w:hAnsi="Xerox Serif Wide" w:eastAsia="Xerox Serif Wide" w:cs="Xerox Serif Wide"/>
        <w:sz w:val="24"/>
        <w:szCs w:val="24"/>
        <w:lang w:val="en-US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2284"/>
    <w:pPr>
      <w:widowControl/>
      <w:bidi w:val="0"/>
      <w:jc w:val="left"/>
    </w:pPr>
    <w:rPr>
      <w:rFonts w:eastAsia="Times New Roman" w:cs="Times New Roman" w:ascii="Xerox Serif Wide" w:hAnsi="Xerox Serif Wide"/>
      <w:color w:val="auto"/>
      <w:kern w:val="0"/>
      <w:sz w:val="24"/>
      <w:szCs w:val="20"/>
      <w:lang w:val="en-US" w:eastAsia="pt-BR" w:bidi="ar-SA"/>
    </w:rPr>
  </w:style>
  <w:style w:type="paragraph" w:styleId="Ttulo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945d03"/>
    <w:rPr>
      <w:rFonts w:eastAsia="Times New Roman" w:cs="Times New Roman"/>
      <w:szCs w:val="20"/>
    </w:rPr>
  </w:style>
  <w:style w:type="character" w:styleId="RodapChar" w:customStyle="1">
    <w:name w:val="Rodapé Char"/>
    <w:basedOn w:val="DefaultParagraphFont"/>
    <w:link w:val="Rodap"/>
    <w:uiPriority w:val="99"/>
    <w:qFormat/>
    <w:rsid w:val="00945d03"/>
    <w:rPr>
      <w:rFonts w:eastAsia="Times New Roman" w:cs="Times New Roman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b16d28"/>
    <w:rPr>
      <w:rFonts w:ascii="Segoe UI" w:hAnsi="Segoe UI" w:eastAsia="Times New Roman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 Narrow" w:hAnsi="Arial Narrow"/>
      <w:b/>
      <w:sz w:val="22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tulododocumento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42284"/>
    <w:pPr>
      <w:spacing w:before="0" w:after="0"/>
      <w:ind w:left="720" w:hanging="0"/>
      <w:contextualSpacing/>
    </w:pPr>
    <w:rPr/>
  </w:style>
  <w:style w:type="paragraph" w:styleId="Subttu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b16d28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LibreOffice/6.0.7.3$Linux_X86_64 LibreOffice_project/00m0$Build-3</Application>
  <Pages>2</Pages>
  <Words>403</Words>
  <Characters>2678</Characters>
  <CharactersWithSpaces>3057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2019-12-07T14:27:00Z</dcterms:created>
  <dc:creator>Firmo Leão Ulian</dc:creator>
  <dc:description/>
  <dc:language>pt-BR</dc:language>
  <cp:lastModifiedBy/>
  <cp:lastPrinted>2019-08-20T16:14:00Z</cp:lastPrinted>
  <dcterms:modified xsi:type="dcterms:W3CDTF">2019-12-07T12:20:09Z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